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4D" w:rsidRPr="001537B6" w:rsidRDefault="00A9644D" w:rsidP="00A9644D">
      <w:pPr>
        <w:spacing w:after="120"/>
        <w:jc w:val="right"/>
        <w:rPr>
          <w:rFonts w:ascii="Proxima Nova ExCn Rg" w:eastAsiaTheme="minorHAnsi" w:hAnsi="Proxima Nova ExCn Rg" w:cstheme="minorHAnsi"/>
          <w:b/>
          <w:bCs/>
          <w:color w:val="000000" w:themeColor="text1"/>
        </w:rPr>
      </w:pPr>
      <w:bookmarkStart w:id="0" w:name="_GoBack"/>
      <w:bookmarkEnd w:id="0"/>
      <w:r w:rsidRPr="001537B6">
        <w:rPr>
          <w:rFonts w:ascii="Proxima Nova ExCn Rg" w:eastAsiaTheme="minorHAnsi" w:hAnsi="Proxima Nova ExCn Rg" w:cstheme="minorHAnsi"/>
          <w:b/>
          <w:bCs/>
          <w:color w:val="000000" w:themeColor="text1"/>
        </w:rPr>
        <w:t>Форма 3. Письмо-</w:t>
      </w:r>
      <w:proofErr w:type="spellStart"/>
      <w:r w:rsidRPr="001537B6">
        <w:rPr>
          <w:rFonts w:ascii="Proxima Nova ExCn Rg" w:eastAsiaTheme="minorHAnsi" w:hAnsi="Proxima Nova ExCn Rg" w:cstheme="minorHAnsi"/>
          <w:b/>
          <w:bCs/>
          <w:color w:val="000000" w:themeColor="text1"/>
        </w:rPr>
        <w:t>заверение_последующие</w:t>
      </w:r>
      <w:proofErr w:type="spellEnd"/>
      <w:r w:rsidRPr="001537B6">
        <w:rPr>
          <w:rFonts w:ascii="Proxima Nova ExCn Rg" w:eastAsiaTheme="minorHAnsi" w:hAnsi="Proxima Nova ExCn Rg" w:cstheme="minorHAnsi"/>
          <w:b/>
          <w:bCs/>
          <w:color w:val="000000" w:themeColor="text1"/>
        </w:rPr>
        <w:t xml:space="preserve"> </w:t>
      </w:r>
      <w:proofErr w:type="spellStart"/>
      <w:r w:rsidRPr="001537B6">
        <w:rPr>
          <w:rFonts w:ascii="Proxima Nova ExCn Rg" w:eastAsiaTheme="minorHAnsi" w:hAnsi="Proxima Nova ExCn Rg" w:cstheme="minorHAnsi"/>
          <w:b/>
          <w:bCs/>
          <w:color w:val="000000" w:themeColor="text1"/>
        </w:rPr>
        <w:t>сделки_для</w:t>
      </w:r>
      <w:proofErr w:type="spellEnd"/>
      <w:r w:rsidRPr="001537B6">
        <w:rPr>
          <w:rFonts w:ascii="Proxima Nova ExCn Rg" w:eastAsiaTheme="minorHAnsi" w:hAnsi="Proxima Nova ExCn Rg" w:cstheme="minorHAnsi"/>
          <w:b/>
          <w:bCs/>
          <w:color w:val="000000" w:themeColor="text1"/>
        </w:rPr>
        <w:t xml:space="preserve"> всех</w:t>
      </w:r>
    </w:p>
    <w:p w:rsidR="00A9644D" w:rsidRPr="001537B6" w:rsidRDefault="00A9644D" w:rsidP="00A9644D">
      <w:pPr>
        <w:spacing w:after="120"/>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ПИСЬМО-ЗАВЕРЕНИЕ по состоянию на «__» _______ 202_ года</w:t>
      </w:r>
    </w:p>
    <w:p w:rsidR="00A9644D" w:rsidRPr="001537B6" w:rsidRDefault="00A9644D" w:rsidP="00A9644D">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A9644D" w:rsidRPr="001537B6" w:rsidRDefault="00A9644D" w:rsidP="00A9644D">
      <w:pPr>
        <w:spacing w:after="120"/>
        <w:ind w:right="567"/>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ОГРН, ИНН   ____________________________________________________________</w:t>
      </w:r>
    </w:p>
    <w:p w:rsidR="00A9644D" w:rsidRPr="001537B6" w:rsidRDefault="00A9644D" w:rsidP="00A9644D">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Настоящим сообщаю и заверяю, что в информации, сведениях и документах, представленных «___» _______ 202 _ г. в АО «РТ-Регистратор», изменений не происходило, и документы содержат актуальную и достоверную информацию на дату подписания настоящего письма. </w:t>
      </w:r>
    </w:p>
    <w:p w:rsidR="00A9644D" w:rsidRPr="001537B6" w:rsidRDefault="00A9644D" w:rsidP="00A9644D">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rsidR="00A9644D" w:rsidRPr="001537B6" w:rsidRDefault="00A9644D" w:rsidP="00A9644D">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1. Организация:</w:t>
      </w:r>
    </w:p>
    <w:p w:rsidR="00A9644D" w:rsidRPr="001537B6" w:rsidRDefault="00A9644D" w:rsidP="00A9644D">
      <w:pPr>
        <w:spacing w:after="120"/>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1591773280"/>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178309761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A9644D" w:rsidRPr="001537B6" w:rsidRDefault="00A9644D" w:rsidP="00A9644D">
      <w:pPr>
        <w:widowControl/>
        <w:numPr>
          <w:ilvl w:val="0"/>
          <w:numId w:val="1"/>
        </w:numPr>
        <w:autoSpaceDE/>
        <w:autoSpaceDN/>
        <w:adjustRightInd/>
        <w:spacing w:after="120"/>
        <w:ind w:left="714" w:hanging="357"/>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A9644D" w:rsidRPr="001537B6" w:rsidRDefault="00A9644D" w:rsidP="00A9644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303171630"/>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780638596"/>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A9644D" w:rsidRPr="001537B6" w:rsidRDefault="00A9644D" w:rsidP="00A9644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A9644D" w:rsidRPr="001537B6" w:rsidRDefault="00A9644D" w:rsidP="00A9644D">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2. Контролирующее лицо организации:</w:t>
      </w:r>
    </w:p>
    <w:p w:rsidR="00A9644D" w:rsidRPr="001537B6" w:rsidRDefault="00A9644D" w:rsidP="00A9644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164565404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077079741"/>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A9644D" w:rsidRPr="001537B6" w:rsidRDefault="00A9644D" w:rsidP="00A9644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A9644D" w:rsidRPr="001537B6" w:rsidRDefault="00A9644D" w:rsidP="00A9644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2146005965"/>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459035251"/>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A9644D" w:rsidRPr="001537B6" w:rsidRDefault="00A9644D" w:rsidP="00A9644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A9644D" w:rsidRPr="001537B6" w:rsidRDefault="00A9644D" w:rsidP="00A9644D">
      <w:pPr>
        <w:spacing w:after="120"/>
        <w:rPr>
          <w:rFonts w:ascii="Proxima Nova ExCn Rg" w:hAnsi="Proxima Nova ExCn Rg" w:cstheme="minorHAnsi"/>
          <w:color w:val="000000" w:themeColor="text1"/>
        </w:rPr>
      </w:pPr>
    </w:p>
    <w:p w:rsidR="00A9644D" w:rsidRPr="001537B6" w:rsidRDefault="00A9644D" w:rsidP="00A9644D">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Примечание</w:t>
      </w:r>
      <w:r>
        <w:rPr>
          <w:rFonts w:ascii="Proxima Nova ExCn Rg" w:hAnsi="Proxima Nova ExCn Rg" w:cstheme="minorHAnsi"/>
          <w:b/>
          <w:color w:val="000000" w:themeColor="text1"/>
        </w:rPr>
        <w:t>:</w:t>
      </w:r>
    </w:p>
    <w:p w:rsidR="00A9644D" w:rsidRPr="001537B6" w:rsidRDefault="00A9644D" w:rsidP="00A9644D">
      <w:pPr>
        <w:tabs>
          <w:tab w:val="left" w:pos="851"/>
        </w:tabs>
        <w:spacing w:after="120"/>
        <w:ind w:firstLine="567"/>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п.1 и п.2. и 2.1 статьи</w:t>
      </w:r>
      <w:r>
        <w:rPr>
          <w:rFonts w:ascii="Proxima Nova ExCn Rg" w:hAnsi="Proxima Nova ExCn Rg" w:cstheme="minorHAnsi"/>
          <w:color w:val="000000" w:themeColor="text1"/>
        </w:rPr>
        <w:t xml:space="preserve"> </w:t>
      </w:r>
      <w:r w:rsidRPr="001537B6">
        <w:rPr>
          <w:rFonts w:ascii="Proxima Nova ExCn Rg" w:hAnsi="Proxima Nova ExCn Rg" w:cstheme="minorHAnsi"/>
          <w:color w:val="000000" w:themeColor="text1"/>
        </w:rPr>
        <w:t>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9644D" w:rsidRPr="001537B6" w:rsidRDefault="00A9644D" w:rsidP="00A9644D">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w:t>
      </w:r>
      <w:r w:rsidRPr="001537B6">
        <w:rPr>
          <w:rFonts w:ascii="Proxima Nova ExCn Rg" w:hAnsi="Proxima Nova ExCn Rg" w:cstheme="minorHAnsi"/>
          <w:color w:val="000000" w:themeColor="text1"/>
        </w:rPr>
        <w:lastRenderedPageBreak/>
        <w:t xml:space="preserve">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A9644D" w:rsidRPr="001537B6" w:rsidRDefault="00A9644D" w:rsidP="00A9644D">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A9644D" w:rsidRPr="001537B6" w:rsidRDefault="00A9644D" w:rsidP="00A9644D">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A9644D" w:rsidRPr="001537B6" w:rsidRDefault="00A9644D" w:rsidP="00A9644D">
      <w:pPr>
        <w:spacing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A9644D" w:rsidRPr="001537B6" w:rsidRDefault="00A9644D" w:rsidP="00A9644D">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A9644D" w:rsidRPr="001537B6" w:rsidRDefault="00A9644D" w:rsidP="00A9644D">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A9644D" w:rsidRPr="001537B6" w:rsidRDefault="00A9644D" w:rsidP="00A9644D">
      <w:pPr>
        <w:spacing w:after="120"/>
        <w:ind w:firstLine="539"/>
        <w:jc w:val="both"/>
        <w:rPr>
          <w:rFonts w:ascii="Proxima Nova ExCn Rg" w:hAnsi="Proxima Nova ExCn Rg" w:cstheme="minorHAnsi"/>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A9644D" w:rsidRPr="001537B6" w:rsidTr="00DC34F9">
        <w:tc>
          <w:tcPr>
            <w:tcW w:w="5330" w:type="dxa"/>
            <w:tcBorders>
              <w:top w:val="nil"/>
              <w:left w:val="nil"/>
              <w:bottom w:val="single" w:sz="4" w:space="0" w:color="auto"/>
              <w:right w:val="nil"/>
            </w:tcBorders>
            <w:vAlign w:val="bottom"/>
          </w:tcPr>
          <w:p w:rsidR="00A9644D" w:rsidRPr="001537B6" w:rsidRDefault="00A9644D" w:rsidP="00DC34F9">
            <w:pPr>
              <w:spacing w:after="120"/>
              <w:jc w:val="center"/>
              <w:rPr>
                <w:rFonts w:ascii="Proxima Nova ExCn Rg" w:hAnsi="Proxima Nova ExCn Rg" w:cstheme="minorHAnsi"/>
                <w:color w:val="000000" w:themeColor="text1"/>
              </w:rPr>
            </w:pPr>
          </w:p>
        </w:tc>
        <w:tc>
          <w:tcPr>
            <w:tcW w:w="113" w:type="dxa"/>
            <w:tcBorders>
              <w:top w:val="nil"/>
              <w:left w:val="nil"/>
              <w:bottom w:val="nil"/>
              <w:right w:val="nil"/>
            </w:tcBorders>
            <w:vAlign w:val="bottom"/>
          </w:tcPr>
          <w:p w:rsidR="00A9644D" w:rsidRPr="001537B6" w:rsidRDefault="00A9644D" w:rsidP="00DC34F9">
            <w:pPr>
              <w:spacing w:after="120"/>
              <w:jc w:val="center"/>
              <w:rPr>
                <w:rFonts w:ascii="Proxima Nova ExCn Rg" w:hAnsi="Proxima Nova ExCn Rg" w:cstheme="minorHAnsi"/>
                <w:color w:val="000000" w:themeColor="text1"/>
              </w:rPr>
            </w:pPr>
          </w:p>
        </w:tc>
        <w:tc>
          <w:tcPr>
            <w:tcW w:w="1134" w:type="dxa"/>
            <w:tcBorders>
              <w:top w:val="nil"/>
              <w:left w:val="nil"/>
              <w:bottom w:val="single" w:sz="4" w:space="0" w:color="auto"/>
              <w:right w:val="nil"/>
            </w:tcBorders>
            <w:vAlign w:val="bottom"/>
          </w:tcPr>
          <w:p w:rsidR="00A9644D" w:rsidRPr="001537B6" w:rsidRDefault="00A9644D" w:rsidP="00DC34F9">
            <w:pPr>
              <w:spacing w:after="120"/>
              <w:jc w:val="center"/>
              <w:rPr>
                <w:rFonts w:ascii="Proxima Nova ExCn Rg" w:hAnsi="Proxima Nova ExCn Rg" w:cstheme="minorHAnsi"/>
                <w:color w:val="000000" w:themeColor="text1"/>
              </w:rPr>
            </w:pPr>
          </w:p>
        </w:tc>
        <w:tc>
          <w:tcPr>
            <w:tcW w:w="113" w:type="dxa"/>
            <w:tcBorders>
              <w:top w:val="nil"/>
              <w:left w:val="nil"/>
              <w:right w:val="nil"/>
            </w:tcBorders>
            <w:vAlign w:val="bottom"/>
          </w:tcPr>
          <w:p w:rsidR="00A9644D" w:rsidRPr="001537B6" w:rsidRDefault="00A9644D" w:rsidP="00DC34F9">
            <w:pPr>
              <w:spacing w:after="120"/>
              <w:jc w:val="center"/>
              <w:rPr>
                <w:rFonts w:ascii="Proxima Nova ExCn Rg" w:hAnsi="Proxima Nova ExCn Rg" w:cstheme="minorHAnsi"/>
                <w:color w:val="000000" w:themeColor="text1"/>
              </w:rPr>
            </w:pPr>
          </w:p>
        </w:tc>
        <w:tc>
          <w:tcPr>
            <w:tcW w:w="2835" w:type="dxa"/>
            <w:tcBorders>
              <w:top w:val="nil"/>
              <w:left w:val="nil"/>
              <w:bottom w:val="single" w:sz="4" w:space="0" w:color="auto"/>
              <w:right w:val="nil"/>
            </w:tcBorders>
            <w:vAlign w:val="bottom"/>
          </w:tcPr>
          <w:p w:rsidR="00A9644D" w:rsidRPr="001537B6" w:rsidRDefault="00A9644D" w:rsidP="00DC34F9">
            <w:pPr>
              <w:spacing w:after="120"/>
              <w:jc w:val="center"/>
              <w:rPr>
                <w:rFonts w:ascii="Proxima Nova ExCn Rg" w:hAnsi="Proxima Nova ExCn Rg" w:cstheme="minorHAnsi"/>
                <w:color w:val="000000" w:themeColor="text1"/>
              </w:rPr>
            </w:pPr>
          </w:p>
        </w:tc>
      </w:tr>
      <w:tr w:rsidR="00A9644D" w:rsidRPr="001537B6" w:rsidTr="00DC34F9">
        <w:tc>
          <w:tcPr>
            <w:tcW w:w="5330" w:type="dxa"/>
            <w:tcBorders>
              <w:top w:val="single" w:sz="4" w:space="0" w:color="auto"/>
              <w:left w:val="nil"/>
              <w:bottom w:val="nil"/>
              <w:right w:val="nil"/>
            </w:tcBorders>
          </w:tcPr>
          <w:p w:rsidR="00A9644D" w:rsidRPr="001537B6" w:rsidRDefault="00A9644D" w:rsidP="00DC34F9">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3" w:type="dxa"/>
            <w:tcBorders>
              <w:top w:val="nil"/>
              <w:left w:val="nil"/>
              <w:bottom w:val="nil"/>
              <w:right w:val="nil"/>
            </w:tcBorders>
          </w:tcPr>
          <w:p w:rsidR="00A9644D" w:rsidRPr="001537B6" w:rsidRDefault="00A9644D" w:rsidP="00DC34F9">
            <w:pPr>
              <w:spacing w:after="120"/>
              <w:jc w:val="center"/>
              <w:rPr>
                <w:rFonts w:ascii="Proxima Nova ExCn Rg" w:hAnsi="Proxima Nova ExCn Rg" w:cstheme="minorHAnsi"/>
                <w:color w:val="000000" w:themeColor="text1"/>
              </w:rPr>
            </w:pPr>
          </w:p>
        </w:tc>
        <w:tc>
          <w:tcPr>
            <w:tcW w:w="1134" w:type="dxa"/>
            <w:tcBorders>
              <w:top w:val="single" w:sz="4" w:space="0" w:color="auto"/>
              <w:left w:val="nil"/>
              <w:bottom w:val="nil"/>
              <w:right w:val="nil"/>
            </w:tcBorders>
          </w:tcPr>
          <w:p w:rsidR="00A9644D" w:rsidRPr="001537B6" w:rsidRDefault="00A9644D" w:rsidP="00DC34F9">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3" w:type="dxa"/>
            <w:tcBorders>
              <w:left w:val="nil"/>
              <w:bottom w:val="nil"/>
              <w:right w:val="nil"/>
            </w:tcBorders>
          </w:tcPr>
          <w:p w:rsidR="00A9644D" w:rsidRPr="001537B6" w:rsidRDefault="00A9644D" w:rsidP="00DC34F9">
            <w:pPr>
              <w:spacing w:after="120"/>
              <w:jc w:val="center"/>
              <w:rPr>
                <w:rFonts w:ascii="Proxima Nova ExCn Rg" w:hAnsi="Proxima Nova ExCn Rg" w:cstheme="minorHAnsi"/>
                <w:color w:val="000000" w:themeColor="text1"/>
              </w:rPr>
            </w:pPr>
          </w:p>
        </w:tc>
        <w:tc>
          <w:tcPr>
            <w:tcW w:w="2835" w:type="dxa"/>
            <w:tcBorders>
              <w:top w:val="single" w:sz="4" w:space="0" w:color="auto"/>
              <w:left w:val="nil"/>
              <w:bottom w:val="nil"/>
              <w:right w:val="nil"/>
            </w:tcBorders>
          </w:tcPr>
          <w:p w:rsidR="00A9644D" w:rsidRPr="001537B6" w:rsidRDefault="00A9644D" w:rsidP="00DC34F9">
            <w:pPr>
              <w:spacing w:after="120"/>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580429" w:rsidRDefault="00580429"/>
    <w:sectPr w:rsidR="00580429" w:rsidSect="00A9644D">
      <w:pgSz w:w="11906" w:h="16838"/>
      <w:pgMar w:top="567"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panose1 w:val="02000506030000020004"/>
    <w:charset w:val="CC"/>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DB"/>
    <w:rsid w:val="00580429"/>
    <w:rsid w:val="00A9644D"/>
    <w:rsid w:val="00C8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16349-A80E-4723-84F5-7A84CA41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44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1168</Words>
  <Characters>6663</Characters>
  <Application>Microsoft Office Word</Application>
  <DocSecurity>0</DocSecurity>
  <Lines>55</Lines>
  <Paragraphs>15</Paragraphs>
  <ScaleCrop>false</ScaleCrop>
  <Company>"АО РТ-Регистратор"</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Галина Александровна</dc:creator>
  <cp:keywords/>
  <dc:description/>
  <cp:lastModifiedBy>Петрова Галина Александровна</cp:lastModifiedBy>
  <cp:revision>2</cp:revision>
  <dcterms:created xsi:type="dcterms:W3CDTF">2026-02-24T15:42:00Z</dcterms:created>
  <dcterms:modified xsi:type="dcterms:W3CDTF">2026-02-24T15:43:00Z</dcterms:modified>
</cp:coreProperties>
</file>